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4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tbl>
      <w:tblPr>
        <w:tblpPr w:leftFromText="141" w:rightFromText="141" w:topFromText="0" w:bottomFromText="0" w:vertAnchor="text" w:tblpX="-34" w:tblpY="-423"/>
        <w:tblOverlap w:val="never"/>
        <w:tblW w:w="14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83"/>
        <w:gridCol w:w="1199"/>
        <w:gridCol w:w="330"/>
        <w:gridCol w:w="2207"/>
        <w:gridCol w:w="653"/>
        <w:gridCol w:w="515"/>
        <w:gridCol w:w="1276"/>
        <w:gridCol w:w="3530"/>
        <w:gridCol w:w="2085"/>
        <w:gridCol w:w="2120"/>
      </w:tblGrid>
      <w:tr>
        <w:trPr>
          <w:cantSplit/>
          <w:trHeight w:val="1837" w:hRule="atLeast"/>
        </w:trPr>
        <w:tc>
          <w:tcPr>
            <w:tcW w:w="483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199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330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207" w:type="dxa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LAR</w:t>
            </w:r>
          </w:p>
        </w:tc>
        <w:tc>
          <w:tcPr>
            <w:tcW w:w="653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515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1276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İÇİ VE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DERSLERLE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530" w:type="dxa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2085" w:type="dxa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ÖLÇME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VE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DEĞERLENDİRME</w:t>
            </w:r>
          </w:p>
        </w:tc>
        <w:tc>
          <w:tcPr>
            <w:tcW w:w="2120" w:type="dxa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985" w:hRule="atLeast"/>
        </w:trPr>
        <w:tc>
          <w:tcPr>
            <w:tcW w:w="483" w:type="dxa"/>
            <w:vMerge w:val="restart"/>
            <w:tcBorders/>
            <w:shd w:val="clear" w:color="auto" w:fill="fbd4b4"/>
            <w:textDirection w:val="btL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EYL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Ü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L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.HAFTA</w:t>
            </w:r>
          </w:p>
        </w:tc>
        <w:tc>
          <w:tcPr>
            <w:tcW w:w="330" w:type="dxa"/>
            <w:tcBorders>
              <w:bottom w:val="single" w:sz="4" w:space="0" w:color="auto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207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 Geleneğin toplumsal ve kültürel hayatımızdaki yerini kavrar.</w:t>
            </w:r>
          </w:p>
        </w:tc>
        <w:tc>
          <w:tcPr>
            <w:tcW w:w="653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HALK BİLİMİ</w:t>
            </w:r>
          </w:p>
        </w:tc>
        <w:tc>
          <w:tcPr>
            <w:tcW w:w="515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ÜNİTE I:  GELENEK VE DEĞİŞME</w:t>
            </w:r>
          </w:p>
        </w:tc>
        <w:tc>
          <w:tcPr>
            <w:tcW w:w="1276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pacing w:val="-20"/>
                <w:sz w:val="18"/>
                <w:szCs w:val="18"/>
              </w:rPr>
              <w:t xml:space="preserve">[!]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Öğretmen tarafından bu öğrenme alanının 6 ve 7. sınıflarına ait ünitelerinin kazanımları hatırlatılır.</w:t>
            </w:r>
          </w:p>
        </w:tc>
        <w:tc>
          <w:tcPr>
            <w:tcW w:w="3530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Geleneksel uygulamalarla ilgili ifade ve fotoğraflardan hareketlegeleneğin toplumsal ve kültürel hayatımızdaki yeri kavratılarak halk kültürünün sürekliliğinde geleneğin rolü açıklanır (1 ve 3. kazanım).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Bu ünitede sözlü sunum, proje, performans görevi, gözlem ve öz değerlendirme formları kullanılarak değerlendirme yapılabilir.</w:t>
            </w:r>
          </w:p>
        </w:tc>
        <w:tc>
          <w:tcPr>
            <w:tcW w:w="2120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color w:val="000000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pacing w:val="-20"/>
                <w:sz w:val="18"/>
                <w:szCs w:val="18"/>
              </w:rPr>
              <w:t>[!]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Gözlem, girişimcilik, iletişim, değişim ve sürekliliği algılama, sosyal ve kültürel katılım, Türkçeyi doğru, güzel ve etkili kullanma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color w:val="000000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pacing w:val="-20"/>
                <w:sz w:val="18"/>
                <w:szCs w:val="18"/>
              </w:rPr>
              <w:t>[!] Bu ünitede verilecek değerler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Farklılıklara saygı duyma, dayanışma, hoşgörü, kültürel mirası yaşatmaya duyarlılık</w:t>
            </w:r>
          </w:p>
        </w:tc>
      </w:tr>
      <w:tr>
        <w:tblPrEx/>
        <w:trPr>
          <w:cantSplit/>
          <w:trHeight w:val="2217" w:hRule="atLeast"/>
        </w:trPr>
        <w:tc>
          <w:tcPr>
            <w:tcW w:w="483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.HAFTA</w:t>
            </w:r>
          </w:p>
        </w:tc>
        <w:tc>
          <w:tcPr>
            <w:tcW w:w="330" w:type="dxa"/>
            <w:tcBorders>
              <w:top w:val="single" w:sz="4" w:space="0" w:color="auto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207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Gelenek ile kültürel değişme arasındaki ilişkiyi sorgular.</w:t>
            </w:r>
          </w:p>
        </w:tc>
        <w:tc>
          <w:tcPr>
            <w:tcW w:w="653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5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0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Eskiden ve günümüzde gerçekleştirilen geleneksel uygulamalara örnekler verilerek gelenek ile kültürel değişme arasındaki ilişki sorgulatılır (2. kazanım).</w:t>
            </w:r>
          </w:p>
        </w:tc>
        <w:tc>
          <w:tcPr>
            <w:tcW w:w="2085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0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1297" w:hRule="atLeast"/>
        </w:trPr>
        <w:tc>
          <w:tcPr>
            <w:tcW w:w="483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EKİM</w:t>
            </w:r>
          </w:p>
        </w:tc>
        <w:tc>
          <w:tcPr>
            <w:tcW w:w="1199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.HAFTA</w:t>
            </w:r>
          </w:p>
        </w:tc>
        <w:tc>
          <w:tcPr>
            <w:tcW w:w="330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207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Halk kültürünün sürekliliğinde geleneğin rolünü açıklar.</w:t>
            </w:r>
          </w:p>
        </w:tc>
        <w:tc>
          <w:tcPr>
            <w:tcW w:w="653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5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0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5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0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rPr/>
      </w:pPr>
    </w:p>
    <w:tbl>
      <w:tblPr>
        <w:tblpPr w:leftFromText="141" w:rightFromText="141" w:topFromText="0" w:bottomFromText="0" w:vertAnchor="text" w:horzAnchor="margin" w:tblpXSpec="left" w:tblpY="-391"/>
        <w:tblOverlap w:val="never"/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49"/>
        <w:gridCol w:w="1077"/>
        <w:gridCol w:w="122"/>
        <w:gridCol w:w="303"/>
        <w:gridCol w:w="27"/>
        <w:gridCol w:w="2383"/>
        <w:gridCol w:w="567"/>
        <w:gridCol w:w="567"/>
        <w:gridCol w:w="142"/>
        <w:gridCol w:w="992"/>
        <w:gridCol w:w="283"/>
        <w:gridCol w:w="3119"/>
        <w:gridCol w:w="283"/>
        <w:gridCol w:w="1418"/>
        <w:gridCol w:w="283"/>
        <w:gridCol w:w="2552"/>
      </w:tblGrid>
      <w:tr>
        <w:trPr>
          <w:cantSplit/>
          <w:trHeight w:val="1840" w:hRule="atLeast"/>
        </w:trPr>
        <w:tc>
          <w:tcPr>
            <w:tcW w:w="449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077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452" w:type="dxa"/>
            <w:gridSpan w:val="3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383" w:type="dxa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709" w:type="dxa"/>
            <w:gridSpan w:val="2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992" w:type="dxa"/>
            <w:tcBorders/>
            <w:shd w:val="clear" w:color="auto" w:fill="ccc0d9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685" w:type="dxa"/>
            <w:gridSpan w:val="3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552" w:type="dxa"/>
            <w:tcBorders/>
            <w:shd w:val="clear" w:color="auto" w:fill="ccc0d9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950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EKİM</w:t>
            </w:r>
          </w:p>
        </w:tc>
        <w:tc>
          <w:tcPr>
            <w:tcW w:w="1077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.HAFTA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Halk inanışlarının oluşum nedenlerini sorgular.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TOPLUMSAL UYGULAMALAR</w:t>
            </w:r>
          </w:p>
        </w:tc>
        <w:tc>
          <w:tcPr>
            <w:tcW w:w="709" w:type="dxa"/>
            <w:gridSpan w:val="2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 II:  HALK İNANIŞLARI</w:t>
            </w:r>
          </w:p>
        </w:tc>
        <w:tc>
          <w:tcPr>
            <w:tcW w:w="992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Öğrencilerin halk inanışları, bu inanışların oluşum nedenleri ile ilgili çevrelerinden yaptıkları araştırmalara dayanarak halk inanışları ve oluşum nedenleri tablosu doldurulur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sözlü sunum, gözlem ve öz değerlendirme formları kullanılarak değerlendirme yapılabilir.</w:t>
            </w:r>
          </w:p>
        </w:tc>
        <w:tc>
          <w:tcPr>
            <w:tcW w:w="2552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Gözlem, araştırma, eleştirel düşünme, iletişim, değişim ve sürekliliği algılama, bilgi teknolojilerini kullanma, Türkçeyi doğru, güzel ve etkili kullanma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değerler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Farklılıklara saygı duyma, hoşgörü, kültürel mirası yaşatmaya duyarlılık</w:t>
            </w:r>
          </w:p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.HAFTA</w:t>
            </w:r>
          </w:p>
        </w:tc>
        <w:tc>
          <w:tcPr>
            <w:tcW w:w="452" w:type="dxa"/>
            <w:gridSpan w:val="3"/>
            <w:tcBorders>
              <w:bottom w:val="single" w:sz="4" w:space="0" w:color="auto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 Halk inanışlarının, geçmiş kültürlerden ve inançlardan izler taşıdığının farkına varır. 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84"/>
              <w:ind w:left="0" w:right="0"/>
              <w:jc w:val="left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 kültürümüzden ve farklı kültürlerden verilen örneklerle halk inanışlarının, geçmiş kültürler ve inançlardan izler taşıdığını fark etmeleri sağlanır (2.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</w:p>
        </w:tc>
      </w:tr>
      <w:tr>
        <w:tblPrEx/>
        <w:trPr>
          <w:cantSplit/>
          <w:trHeight w:val="2544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452" w:type="dxa"/>
            <w:gridSpan w:val="3"/>
            <w:tcBorders>
              <w:top w:val="single" w:sz="4" w:space="0" w:color="auto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Halk inanışlarının toplum yaşantısındaki yansımalarına örnekler verir.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84"/>
              <w:ind w:left="0" w:right="0"/>
              <w:jc w:val="left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Öğrencilerin halk inanışlarının toplum yaşantısındaki yansımalarını yaptıkları araştırmaya dayanarak tartışmaları ve araştırmalarını sınıf panosunda sergilemeleri sağlanır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</w:p>
        </w:tc>
      </w:tr>
      <w:tr>
        <w:tblPrEx/>
        <w:trPr>
          <w:cantSplit/>
          <w:trHeight w:val="1697" w:hRule="atLeast"/>
        </w:trPr>
        <w:tc>
          <w:tcPr>
            <w:tcW w:w="449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07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452" w:type="dxa"/>
            <w:gridSpan w:val="3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383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70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992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ERSLER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685" w:type="dxa"/>
            <w:gridSpan w:val="3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552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989" w:hRule="atLeast"/>
        </w:trPr>
        <w:tc>
          <w:tcPr>
            <w:tcW w:w="449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EKİM</w:t>
            </w:r>
          </w:p>
        </w:tc>
        <w:tc>
          <w:tcPr>
            <w:tcW w:w="1077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HAFTA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 Halk mimarisini örnekleri ile tanır.  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HALK SANATLARI</w:t>
            </w:r>
          </w:p>
        </w:tc>
        <w:tc>
          <w:tcPr>
            <w:tcW w:w="709" w:type="dxa"/>
            <w:gridSpan w:val="2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ÜNİTE III: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HALK MİMARİSİ</w:t>
            </w:r>
          </w:p>
        </w:tc>
        <w:tc>
          <w:tcPr>
            <w:tcW w:w="992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Webdings" w:char="94"/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+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 çevresinde halk mimarisi özellikleri taşıyan bir yere/yapıya gezi düzenlenir 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sözlü sunum ile gözlem, öz değerlendirme ve akran değerlendirme formları kullanılarak değerlendirme yapılabilir.</w:t>
            </w:r>
          </w:p>
        </w:tc>
        <w:tc>
          <w:tcPr>
            <w:tcW w:w="2552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Gözlem, değişim ve sürekliliği algılama, iletişim, Türkçeyi doğru, güzel ve etkili kullanma, sosyal ve kültürel katılım, bilgi teknolojilerini kullanma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değerler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Farklılıklara saygı duyma, kültürel mirası yaşatmaya duyarlılık, estetik, sorumluluk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114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KASIM</w:t>
            </w:r>
          </w:p>
        </w:tc>
        <w:tc>
          <w:tcPr>
            <w:tcW w:w="1077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Halk mimarisi örnekleri fotoğraflar yoluyla tanıtılır. Öğrencilerin araştırmalarına dayanarak halk mimarisini koruma ve yaşatma yöntemlerine ilişkin önerileri alınır (1 ve 4.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988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. HAFTA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Halk mimarisinin kültürle ilişkisini kavrar.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Örnek metinlerle halk mimarisinin kültürle ilişkisi kavratılır ( 2.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983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. HAFTA</w:t>
            </w:r>
          </w:p>
        </w:tc>
        <w:tc>
          <w:tcPr>
            <w:tcW w:w="452" w:type="dxa"/>
            <w:gridSpan w:val="3"/>
            <w:tcBorders>
              <w:bottom w:val="single" w:sz="4" w:space="0" w:color="000000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Halk mimarisindeki konutun bölümlerini, yardımcı yapılarını ve işlevlerini açıklar.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 araştırmalarından, örnek metin ve fotoğraflardan hareketle halk mimarisindeki konutun bölümleri, yardımcı yapıları ve işlevleri açıklanır  (3.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124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7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271" w:hRule="atLeast"/>
        </w:trPr>
        <w:tc>
          <w:tcPr>
            <w:tcW w:w="449" w:type="dxa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ARALIK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452" w:type="dxa"/>
            <w:gridSpan w:val="3"/>
            <w:tcBorders>
              <w:bottom w:val="single" w:sz="4" w:space="0" w:color="000000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Halk mimarisini koruma ve yaşatma yöntemlerine ilişkin önerilerde bulunur.</w:t>
            </w: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693" w:hRule="atLeast"/>
        </w:trPr>
        <w:tc>
          <w:tcPr>
            <w:tcW w:w="449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07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452" w:type="dxa"/>
            <w:gridSpan w:val="3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383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70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992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685" w:type="dxa"/>
            <w:gridSpan w:val="3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552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546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ARALIK</w:t>
            </w:r>
          </w:p>
        </w:tc>
        <w:tc>
          <w:tcPr>
            <w:tcW w:w="1077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Atasözü ve deyimlerin sözlü kültür içindeki yerini ve bunların halkın düşüncesini, yaşayışını, değer yargılarını yansıttığını fark eder.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SÖZLÜ ANLATIMLAR</w:t>
            </w:r>
          </w:p>
        </w:tc>
        <w:tc>
          <w:tcPr>
            <w:tcW w:w="709" w:type="dxa"/>
            <w:gridSpan w:val="2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ÜNİTE IV: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ATASÖZLERİ VE DEYİMLER</w:t>
            </w:r>
          </w:p>
        </w:tc>
        <w:tc>
          <w:tcPr>
            <w:tcW w:w="992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Webdings" w:char="60"/>
            </w:r>
            <w:r>
              <w:rPr>
                <w:rFonts w:ascii="Times New Roman" w:hAnsi="Times New Roman"/>
                <w:sz w:val="18"/>
                <w:szCs w:val="18"/>
              </w:rPr>
              <w:t>Türkçe</w:t>
            </w:r>
          </w:p>
        </w:tc>
        <w:tc>
          <w:tcPr>
            <w:tcW w:w="3685" w:type="dxa"/>
            <w:gridSpan w:val="3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Atasözleri ve deyimlerin yer aldığı şarkılar dinletilerek bu şarkılardaki atasözleri ve deyimler buldurulur. Bunların halkın düşüncesini, yaşayışını, değer yargılarını yansıttığı fark ettirilir(1. kazanım).</w:t>
            </w:r>
          </w:p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Verilen atasözleri ve deyimlerin yansıttıkları düşünceler sınıfça tartışılır. Atasözleri ve deyimlerle, atasözleri ve deyimlerin anlamları eşleştirilir 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sözlü sunum ile gözlem, performans görevi ve öz değerlendirme formları kullanılarak değerlendirme yapılabilir.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[!]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Bilgi teknolojilerini kullanma, değişim ve sürekliliği algılama, iletişim, Türkçeyi doğru, güzel ve etkili kullanma, sosyal ve kültürel katılım becerisi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[!] Bu ünitede verilecek değerler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Kültürel mirası yaşatmaya duyarlılık,  sorumluluk, estetik, farklılıklara saygı duyma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7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546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7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</w:t>
            </w:r>
          </w:p>
        </w:tc>
        <w:tc>
          <w:tcPr>
            <w:tcW w:w="452" w:type="dxa"/>
            <w:gridSpan w:val="3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Atasözü ve deyimlerin kültürel süreklilik içinde üretilmeye devam ettiğini kavrar.</w:t>
            </w:r>
          </w:p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Atasözleri ve deyimlerle ilgili öğrencilerin uyguladıkları anket değerlendirilerek sonuçları sınıfa sunulur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 ve 3.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OCAK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452" w:type="dxa"/>
            <w:gridSpan w:val="3"/>
            <w:tcBorders>
              <w:bottom w:val="single" w:sz="4" w:space="0" w:color="000000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Atasözü ve deyimlerin ortaya çıkışı ile ilgili hikâyeler oluştuğunu fark eder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Hikâyeleri verilen atasözleri ve deyimler gruplara ayrılan öğrenciler tarafından canlandırılır (3.kazanım).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693" w:hRule="atLeast"/>
        </w:trPr>
        <w:tc>
          <w:tcPr>
            <w:tcW w:w="449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07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452" w:type="dxa"/>
            <w:gridSpan w:val="3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383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70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992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685" w:type="dxa"/>
            <w:gridSpan w:val="3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552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404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OCAK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452" w:type="dxa"/>
            <w:gridSpan w:val="3"/>
            <w:tcBorders>
              <w:bottom w:val="single" w:sz="4" w:space="0" w:color="auto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Mitlerin halk kültürüne yansımalarını fark eder.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SÖZLÜ ANLATIMLAR</w:t>
            </w:r>
          </w:p>
        </w:tc>
        <w:tc>
          <w:tcPr>
            <w:tcW w:w="709" w:type="dxa"/>
            <w:gridSpan w:val="2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 V: MİT, EFSANE (SÖYLEN, SÖYLENCE)</w:t>
            </w:r>
          </w:p>
        </w:tc>
        <w:tc>
          <w:tcPr>
            <w:tcW w:w="992" w:type="dxa"/>
            <w:vMerge w:val="restart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Webdings" w:char="60"/>
            </w:r>
            <w:r>
              <w:rPr>
                <w:rFonts w:ascii="Times New Roman" w:hAnsi="Times New Roman"/>
                <w:sz w:val="18"/>
                <w:szCs w:val="18"/>
              </w:rPr>
              <w:t>Türkçe</w:t>
            </w: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Örnek metinler yoluyla mitlerin halk kültürüne yansımaları fark ettirilir </w:t>
            </w:r>
          </w:p>
          <w:p>
            <w:pPr>
              <w:pStyle w:val="style0"/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sözlü sunum ile gözlem ve öz değerlendirme formları kullanılarak değerlendirme yapılabilir.</w:t>
            </w:r>
          </w:p>
        </w:tc>
        <w:tc>
          <w:tcPr>
            <w:tcW w:w="2552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[!]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Bilgi teknolojilerini kullanma, değişim ve sürekliliği algılama,  iletişim, Türkçeyi doğru, güzel ve etkili kullanma, araştırma, gözlem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[!] Bu ünitede verilecek değerler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Estetik, farklılıklara saygı duyma, kültürel mirası yaşatmaya duyarlılık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3530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452" w:type="dxa"/>
            <w:gridSpan w:val="3"/>
            <w:tcBorders>
              <w:top w:val="single" w:sz="4" w:space="0" w:color="auto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Efsanelerin halk kültürü içinde mekân, varlık ve olaylarla ilişkisini kavrar.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 efsanelerle ilgili araştırma ve derlemeleri, efsane örnekleri, efsanelerle ilgili fotoğraflar sınıfa sunulur (2.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252" w:hRule="atLeast"/>
        </w:trPr>
        <w:tc>
          <w:tcPr>
            <w:tcW w:w="14567" w:type="dxa"/>
            <w:gridSpan w:val="16"/>
            <w:tcBorders>
              <w:bottom w:val="single" w:sz="4" w:space="0" w:color="000000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ind w:left="3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ind w:left="3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I.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YARIYIL SONU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-  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Ocak 2019 Cuma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ind w:left="3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>
        <w:tblPrEx/>
        <w:trPr>
          <w:cantSplit/>
          <w:trHeight w:val="1693" w:hRule="atLeast"/>
        </w:trPr>
        <w:tc>
          <w:tcPr>
            <w:tcW w:w="449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19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303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410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1417" w:type="dxa"/>
            <w:gridSpan w:val="3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119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835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845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ŞUBAT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Destan ve halk hikâyelerinin sözlü kültür içindeki yerini ve bunların ozan, âşık vb. anlatıcılar tarafından anlatıldığını fark eder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SÖZLÜ ANLATIMLAR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 VI: DESTAN, HALK HİKÂYESİ</w:t>
            </w:r>
          </w:p>
        </w:tc>
        <w:tc>
          <w:tcPr>
            <w:tcW w:w="1417" w:type="dxa"/>
            <w:gridSpan w:val="3"/>
            <w:vMerge w:val="restart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MS Outlook" w:char="43"/>
            </w:r>
            <w:r>
              <w:rPr>
                <w:rFonts w:ascii="Times New Roman" w:hAnsi="Times New Roman"/>
                <w:sz w:val="18"/>
                <w:szCs w:val="18"/>
              </w:rPr>
              <w:t xml:space="preserve"> Halk Tiyatrosu</w:t>
            </w:r>
          </w:p>
          <w:p>
            <w:pPr>
              <w:pStyle w:val="style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sym w:font="Webdings" w:char="60"/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Türkçe</w:t>
            </w:r>
          </w:p>
        </w:tc>
        <w:tc>
          <w:tcPr>
            <w:tcW w:w="3119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Halk hikâyesi anlatma geleneği sınıfta canlandırılır 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pacing w:val="-20"/>
                <w:sz w:val="18"/>
                <w:szCs w:val="18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027" type="#_x0000_t202" style="position:absolute;margin-left:22.1pt;margin-top:-60.65pt;width:179.45pt;height:29.35pt;z-index:-2147483645;mso-position-horizontal-relative:text;mso-position-vertical-relative:text;mso-width-relative:page;mso-height-relative:page;mso-wrap-distance-left:0.0pt;mso-wrap-distance-right:0.0pt;visibility:visible;">
                  <v:stroke joinstyle="miter"/>
                  <v:fill/>
                  <v:path o:connecttype="rect" gradientshapeok="t"/>
                  <v:textbox>
                    <w:txbxContent>
                      <w:p>
                        <w:pPr>
                          <w:pStyle w:val="style0"/>
                          <w:rPr/>
                        </w:pPr>
                        <w:r>
                          <w:t>https://www.sosyaldeyince.com/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sözlü sunum, gözlem, öz değerlendirme, akran değerlendirme formları ve proje ödevi kullanılarak değerlendirme yapılabilir.</w:t>
            </w:r>
          </w:p>
        </w:tc>
        <w:tc>
          <w:tcPr>
            <w:tcW w:w="2835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Girişimcilik, bilgi teknolojilerini kullanma, iletişim, değişim ve sürekliliği algılama, Türkçeyi doğru, güzel ve etkili kullanma, gözlem, araştırma, sosyal ve kültürel katılım, yaratıcı düşünme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değerler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Estetik, sorumluluk, kültürel mirası yaşatmaya duyarlılık, farklılıklara saygı duyma</w:t>
            </w:r>
          </w:p>
        </w:tc>
      </w:tr>
      <w:tr>
        <w:tblPrEx/>
        <w:trPr>
          <w:cantSplit/>
          <w:trHeight w:val="1276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303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Destan ve halk hikâyelerinin yeni sanatsal üretimlere esin kaynağı olabileceğini fark eder.</w:t>
            </w: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Destan ve halk hikâyelerinin yeni sanatsal üretimlere esin kaynağı olduğunu gösteren gazete haberleri, afişler yansıtılır ve bunlarla ilgili bir tablo doldurulur  (2. kazanım).</w:t>
            </w:r>
          </w:p>
          <w:p>
            <w:pPr>
              <w:pStyle w:val="style0"/>
              <w:numPr>
                <w:ilvl w:val="0"/>
                <w:numId w:val="2"/>
              </w:numPr>
              <w:tabs>
                <w:tab w:val="clear" w:pos="720"/>
              </w:tabs>
              <w:spacing w:after="0" w:lineRule="auto" w:line="240"/>
              <w:ind w:left="34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Öğrencilerin on iki hikâyeden oluşan Dede Korkut Hikâyeleri’nden herhangi birinin sonunu tamamlamaları veya Dede Korkut Hikâyeleri’nin on üçüncüsünü kendilerinin yazmaları istenir (2. kazanım).</w:t>
            </w:r>
          </w:p>
        </w:tc>
        <w:tc>
          <w:tcPr>
            <w:tcW w:w="1701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788" w:hRule="atLeast"/>
        </w:trPr>
        <w:tc>
          <w:tcPr>
            <w:tcW w:w="449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19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303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410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1417" w:type="dxa"/>
            <w:gridSpan w:val="3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119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835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ŞUBAT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Yazılı hukukta anayasa, yasa ve yönetmeliklerle oluşturulan hukuk düzeninin, halk hukukunda töre(örf), gelenek (anane) ve görenek (âdet)lerle oluşturulduğunu fark eder.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HALK BİLGİSİ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 VII: HALK HUKUKU</w:t>
            </w:r>
          </w:p>
        </w:tc>
        <w:tc>
          <w:tcPr>
            <w:tcW w:w="1417" w:type="dxa"/>
            <w:gridSpan w:val="3"/>
            <w:vMerge w:val="restart"/>
            <w:tcBorders/>
            <w:shd w:val="clear" w:color="auto" w:fill="ffffff"/>
            <w:textDirection w:val="btL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119" w:type="dxa"/>
            <w:tcBorders/>
            <w:shd w:val="clear" w:color="auto" w:fill="ffffff"/>
            <w:vAlign w:val="center"/>
          </w:tcPr>
          <w:p>
            <w:pPr>
              <w:pStyle w:val="style409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ebdings" w:char="f048"/>
            </w:r>
            <w:r>
              <w:rPr>
                <w:sz w:val="18"/>
                <w:szCs w:val="18"/>
              </w:rPr>
              <w:t xml:space="preserve">  Yazılı hukuk ve halk hukukundaki hukuk düzeni verilen örneklerle kavratılır 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 xml:space="preserve"> Bu ünitede sözlü sunum ile gözlem, akran değerlendirme ve öz değerlendirme formları kullanılarak değerlendirme yapılabilir.</w:t>
            </w:r>
          </w:p>
        </w:tc>
        <w:tc>
          <w:tcPr>
            <w:tcW w:w="2835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Gözlem, değişim ve sürekliliği algılama, eleştirel düşünme, araştırma, iletişim, derleme, sosyal ve kültürel katılım, girişimcilik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[!] Bu ünitede verilecek değerler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Farklılıklara saygı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duyma, hoşgörü</w:t>
            </w: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Halk hukukunun halk kültürünün geleneksel ve sözlü kurallarından oluştuğunu fark eder.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Öğrencileringeleneksel ve sözlü kurallarla ilgili çevrelerinden yaptıkları araştırmalar sınıfa sunulur (2. kazanım)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Halk hukuku kurallarının(normlarının) -yazılı hukukun normları gibi -ihtiyaçlara göre biçimlendiğini ve değiştiğini kavrar.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Halk hukuku kuralları ile ilgili verilen örnekler üzerinde tartışılır. Halk hukukunun toplumun gereksinimleri doğrultusunda yazılı hukuka kaynaklık ettiği vurgulanır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 ve 4. kazanım)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  </w:t>
            </w:r>
          </w:p>
        </w:tc>
        <w:tc>
          <w:tcPr>
            <w:tcW w:w="303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Halk hukukunun toplumun gereksinimleri doğrultusunda yazılı hukuka kaynaklık ettiğini fark eder.</w:t>
            </w: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continue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692" w:hRule="atLeast"/>
        </w:trPr>
        <w:tc>
          <w:tcPr>
            <w:tcW w:w="449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19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303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410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1417" w:type="dxa"/>
            <w:gridSpan w:val="3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119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835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2113" w:hRule="atLeast"/>
        </w:trPr>
        <w:tc>
          <w:tcPr>
            <w:tcW w:w="449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Takvim çeşitliliğini kavrar.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409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HALK BİLGİSİ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409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ÜNİTE VIII: HALK TAKVİMİ</w:t>
            </w:r>
          </w:p>
        </w:tc>
        <w:tc>
          <w:tcPr>
            <w:tcW w:w="1417" w:type="dxa"/>
            <w:gridSpan w:val="3"/>
            <w:vMerge w:val="restart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Öğrencilerin takvim çeşitleri ile ilgili araştırmalarını sınıfla paylaşmaları sağlanır. Verilen tablo ile belli başlı takvimler kavratılır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(1. kazanım).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Takvim çeşitleri ile ilgili çalışma kâğıdı doldurularak öğrencilerin miladi takvimi, on iki hayvanlı Türk takvimine çevirmeleri sağlanır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sözlü sunum, gözlem ve öz değerlendirme formları kullanılarak değerlendirme yapılabilir.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Araştırma, bilgi teknolojilerini kullanma, değişim ve sürekliliği algılama, Türkçeyi doğru, güzel ve etkili kullanma, problem çözme, derleme, yaratıcı düşünme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değerler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Kültürel mirası yaşatmaya duyarlılık, sorumluluk, farklılıklara saygı duyma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1126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NİSAN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 HAFTA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Halk takviminin döngüsel zaman kavramıyla oluştuğunu fark eder.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Örnekler yoluyla halk takviminin döngüsel zaman kavramıyla oluştuğu fark ettirilir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Çevresinin gün, ay, yıl vb. takvim bilgileri ile ilgili adlandırmalarını araştırır.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 çevresinin gün, ay, yıl vb. takvim bilgileri ile ilgili yaptıkları araştırmaları sınıfa sunmaları sağlanır  (3. kazanım).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 yaptıkları araştırmalara dayanarak sınıfta bir halk takvimi hazırlamaları sağlanır (3.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>
              <w:bottom w:val="single" w:sz="4" w:space="0" w:color="000000"/>
            </w:tcBorders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03" w:type="dxa"/>
            <w:tcBorders>
              <w:bottom w:val="single" w:sz="4" w:space="0" w:color="000000"/>
            </w:tcBorders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Halk takviminin halk hayatına yansımalarını kavrar.</w:t>
            </w: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Verilen örnekler yoluyla halk takviminin halk hayatına yansımaları fark ettirilir (4. kazanım</w:t>
            </w:r>
            <w:r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1701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>
              <w:bottom w:val="single" w:sz="4" w:space="0" w:color="000000"/>
            </w:tcBorders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551" w:hRule="atLeast"/>
        </w:trPr>
        <w:tc>
          <w:tcPr>
            <w:tcW w:w="449" w:type="dxa"/>
            <w:tcBorders>
              <w:bottom w:val="single" w:sz="4" w:space="0" w:color="000000"/>
            </w:tcBorders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lang w:val="en-US"/>
              </w:rPr>
              <w:t xml:space="preserve"> </w:t>
            </w: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199" w:type="dxa"/>
            <w:gridSpan w:val="2"/>
            <w:tcBorders>
              <w:bottom w:val="single" w:sz="4" w:space="0" w:color="000000"/>
            </w:tcBorders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303" w:type="dxa"/>
            <w:tcBorders>
              <w:bottom w:val="single" w:sz="4" w:space="0" w:color="000000"/>
            </w:tcBorders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</w:tcBorders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119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NİSAN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Halk tiyatrosunun halk yaşamındaki rolünü kavrar.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MÜZİK, OYUN, EĞLENCE</w:t>
            </w: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ÜNİTE IX: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HALK TİYATROSU</w:t>
            </w:r>
          </w:p>
        </w:tc>
        <w:tc>
          <w:tcPr>
            <w:tcW w:w="1417" w:type="dxa"/>
            <w:gridSpan w:val="3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MS Outlook" w:char="43"/>
            </w:r>
            <w:r>
              <w:rPr>
                <w:rFonts w:ascii="Times New Roman" w:hAnsi="Times New Roman"/>
                <w:sz w:val="18"/>
                <w:szCs w:val="18"/>
              </w:rPr>
              <w:t xml:space="preserve"> “Destan ve Halk Hikâyesi” ünitesinin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 kazanımı,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sym w:font="Webdings" w:char="60"/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Türkçe</w:t>
            </w:r>
          </w:p>
          <w:p>
            <w:pPr>
              <w:pStyle w:val="style4097"/>
              <w:ind w:right="0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Öğrencilerin, metin ve fotoğraflardan hareketle halk tiyatrosunun halk yaşamındaki rolünü fark etmeleri sağlanır (1. kazanım).</w:t>
            </w: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gözlem, sözlü sunum, akran değerlendirme ve öz değerlendirme formları kullanılarak değerlendirme yapılabilir.</w:t>
            </w:r>
          </w:p>
          <w:p>
            <w:pPr>
              <w:pStyle w:val="style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beceriler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Değişim ve sürekliliği algılama, iletişim, Türkçeyi doğru, güzel ve etkili kullanma, bilgi teknolojilerini kullanma, sosyal ve kültürel katılım, araştırma, eleştirel düşünme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0"/>
                <w:sz w:val="18"/>
                <w:szCs w:val="18"/>
              </w:rPr>
              <w:t>[!]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Bu ünitede verilecek değerler  </w:t>
            </w:r>
          </w:p>
          <w:p>
            <w:pPr>
              <w:pStyle w:val="style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Kültürel mirası yaşatmaya duyarlılık, sorumluluk, estetik, farklılıklara saygı duyma</w:t>
            </w:r>
          </w:p>
        </w:tc>
      </w:tr>
      <w:tr>
        <w:tblPrEx/>
        <w:trPr>
          <w:cantSplit/>
          <w:trHeight w:val="1686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1394" w:hRule="atLeast"/>
        </w:trPr>
        <w:tc>
          <w:tcPr>
            <w:tcW w:w="449" w:type="dxa"/>
            <w:vMerge w:val="restart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MAYIS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Türk halk tiyatrosunun türlerini fark eder.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>Öğrenciler gruplara ayrılır. Her bir grup Türk halk tiyatrosu türlerine ait bir oyunu sınıfta canlandırır (2. kazanım).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1148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Geleneksel tiyatro ile modern tiyatronun etkileşimini fark eder.</w:t>
            </w: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vMerge w:val="continue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03" w:type="dxa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Kültürel ögelerin toplanması, korunması ve müzeleştirilmesinin önemini kavrar.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119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 Afiş ve gazete haberleri yansıtılarak geleneksel tiyatro ile modern tiyatronun etkileşimi fark ettirilir (3. kazanım).</w:t>
            </w: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</w:tr>
      <w:tr>
        <w:tblPrEx/>
        <w:trPr>
          <w:cantSplit/>
          <w:trHeight w:val="1792" w:hRule="atLeast"/>
        </w:trPr>
        <w:tc>
          <w:tcPr>
            <w:tcW w:w="449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AY</w:t>
            </w:r>
          </w:p>
        </w:tc>
        <w:tc>
          <w:tcPr>
            <w:tcW w:w="119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HAFTA</w:t>
            </w:r>
          </w:p>
        </w:tc>
        <w:tc>
          <w:tcPr>
            <w:tcW w:w="330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383" w:type="dxa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KAZANIMLAR</w:t>
            </w:r>
          </w:p>
        </w:tc>
        <w:tc>
          <w:tcPr>
            <w:tcW w:w="567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ÖĞRENME ALANI</w:t>
            </w:r>
          </w:p>
        </w:tc>
        <w:tc>
          <w:tcPr>
            <w:tcW w:w="709" w:type="dxa"/>
            <w:gridSpan w:val="2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</w:t>
            </w:r>
          </w:p>
        </w:tc>
        <w:tc>
          <w:tcPr>
            <w:tcW w:w="992" w:type="dxa"/>
            <w:tcBorders/>
            <w:shd w:val="clear" w:color="auto" w:fill="b2a1c7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 İÇİ VE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DİĞER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DERSLERLE </w:t>
            </w:r>
          </w:p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İLİŞKİLENDİRME</w:t>
            </w:r>
          </w:p>
        </w:tc>
        <w:tc>
          <w:tcPr>
            <w:tcW w:w="3402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ETKİNLİKLER</w:t>
            </w:r>
          </w:p>
        </w:tc>
        <w:tc>
          <w:tcPr>
            <w:tcW w:w="1701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ÖLÇME VE DEĞERLENDİRME</w:t>
            </w:r>
          </w:p>
        </w:tc>
        <w:tc>
          <w:tcPr>
            <w:tcW w:w="2835" w:type="dxa"/>
            <w:gridSpan w:val="2"/>
            <w:tcBorders/>
            <w:shd w:val="clear" w:color="auto" w:fill="b2a1c7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AÇIKLAMALAR</w:t>
            </w:r>
          </w:p>
        </w:tc>
      </w:tr>
      <w:tr>
        <w:tblPrEx/>
        <w:trPr>
          <w:cantSplit/>
          <w:trHeight w:val="1423" w:hRule="atLeast"/>
        </w:trPr>
        <w:tc>
          <w:tcPr>
            <w:tcW w:w="449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MAYIS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HAFTA                                                    </w:t>
            </w:r>
          </w:p>
        </w:tc>
        <w:tc>
          <w:tcPr>
            <w:tcW w:w="330" w:type="dxa"/>
            <w:gridSpan w:val="2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Müzenin kuşaklar arası kültürel iletişimin oluşmasına katkı sağladığının farkına varır.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KÜRESELLEŞME VE HALK KÜLTÜRÜ</w:t>
            </w:r>
          </w:p>
        </w:tc>
        <w:tc>
          <w:tcPr>
            <w:tcW w:w="709" w:type="dxa"/>
            <w:gridSpan w:val="2"/>
            <w:vMerge w:val="restart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ÜNİTE X: MÜZE VE HALK BİLİMİ MÜZECİLİĞİ</w:t>
            </w:r>
          </w:p>
        </w:tc>
        <w:tc>
          <w:tcPr>
            <w:tcW w:w="992" w:type="dxa"/>
            <w:vMerge w:val="restart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Webdings" w:char="94"/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+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Öğrencilerin çevrelerindeki halk kültürü ile ilgili bir müzeye (ya da somut olmayan kültürel miras müzesine) gezi düzenlenerek müzelerin halk kültürü açısından önemini fark etmeleri sağlanır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(1, 2 ve 3. kazanım).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sym w:font="Webdings" w:char="94"/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+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sym w:font="Webdings" w:char="f048"/>
            </w:r>
            <w:r>
              <w:rPr>
                <w:rFonts w:ascii="Times New Roman" w:hAnsi="Times New Roman"/>
                <w:sz w:val="18"/>
                <w:szCs w:val="18"/>
              </w:rPr>
              <w:t xml:space="preserve">Öğrenciler tarafından okulda/sınıfta kültürel ürünlerden oluşturulan bir sergi düzenlenir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(1, 2 ve 3. kazanım).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0"/>
                <w:sz w:val="18"/>
                <w:szCs w:val="18"/>
              </w:rPr>
              <w:sym w:font="Wingdings" w:char="f034"/>
            </w:r>
            <w:r>
              <w:rPr>
                <w:rFonts w:ascii="Times New Roman" w:hAnsi="Times New Roman"/>
                <w:sz w:val="18"/>
                <w:szCs w:val="18"/>
              </w:rPr>
              <w:t>Bu ünitede gözlem, sözlü sunum, akran değerlendirme ve öz değerlendirme formları kullanılarak değerlendirme yapılabilir.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restart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spacing w:val="-20"/>
                <w:sz w:val="18"/>
                <w:szCs w:val="18"/>
              </w:rPr>
            </w:pPr>
            <w:r>
              <w:rPr>
                <w:b/>
                <w:spacing w:val="-20"/>
                <w:sz w:val="18"/>
                <w:szCs w:val="18"/>
              </w:rPr>
              <w:t>[!]</w:t>
            </w:r>
            <w:r>
              <w:rPr>
                <w:b/>
                <w:sz w:val="18"/>
                <w:szCs w:val="18"/>
              </w:rPr>
              <w:t xml:space="preserve"> Bu ünitede verilecek beceriler</w:t>
            </w:r>
          </w:p>
          <w:p>
            <w:pPr>
              <w:pStyle w:val="style0"/>
              <w:spacing w:after="0" w:lineRule="auto" w:lin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Gözlem, araştırma, değişim ve sürekliliği algılama, iletişim, sosyal ve kültürel katılım</w:t>
            </w:r>
          </w:p>
          <w:p>
            <w:pPr>
              <w:pStyle w:val="style0"/>
              <w:spacing w:after="0" w:lineRule="auto" w:line="240"/>
              <w:rPr>
                <w:b/>
                <w:sz w:val="18"/>
                <w:szCs w:val="18"/>
              </w:rPr>
            </w:pPr>
          </w:p>
          <w:p>
            <w:pPr>
              <w:pStyle w:val="style0"/>
              <w:spacing w:after="0" w:lineRule="auto" w:line="240"/>
              <w:rPr>
                <w:b/>
                <w:sz w:val="18"/>
                <w:szCs w:val="18"/>
              </w:rPr>
            </w:pPr>
            <w:r>
              <w:rPr>
                <w:b/>
                <w:spacing w:val="-20"/>
                <w:sz w:val="18"/>
                <w:szCs w:val="18"/>
              </w:rPr>
              <w:t>[!]</w:t>
            </w:r>
            <w:r>
              <w:rPr>
                <w:b/>
                <w:sz w:val="18"/>
                <w:szCs w:val="18"/>
              </w:rPr>
              <w:t xml:space="preserve"> Bu ünitede verilecek değerler  </w:t>
            </w:r>
          </w:p>
          <w:p>
            <w:pPr>
              <w:pStyle w:val="style0"/>
              <w:spacing w:after="0" w:lineRule="auto" w:lin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Kültürel mirası yaşatmaya duyarlılık, sorumluluk</w:t>
            </w:r>
            <w:bookmarkStart w:id="2" w:name="_GoBack"/>
            <w:bookmarkEnd w:id="2"/>
            <w:r>
              <w:rPr>
                <w:sz w:val="18"/>
                <w:szCs w:val="18"/>
              </w:rPr>
              <w:t>, estetik, farklılıklara saygı duyma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2856" w:hRule="atLeast"/>
        </w:trPr>
        <w:tc>
          <w:tcPr>
            <w:tcW w:w="449" w:type="dxa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after="0" w:lineRule="auto" w:line="24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HAZİRAN</w:t>
            </w:r>
          </w:p>
        </w:tc>
        <w:tc>
          <w:tcPr>
            <w:tcW w:w="1199" w:type="dxa"/>
            <w:gridSpan w:val="2"/>
            <w:tcBorders/>
            <w:shd w:val="clear" w:color="auto" w:fill="fbd4b4"/>
            <w:textDirection w:val="btLr"/>
            <w:vAlign w:val="center"/>
          </w:tcPr>
          <w:p>
            <w:pPr>
              <w:pStyle w:val="style0"/>
              <w:spacing w:before="100" w:beforeAutospacing="true" w:after="100" w:afterAutospacing="true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1. HAFTA</w:t>
            </w:r>
          </w:p>
        </w:tc>
        <w:tc>
          <w:tcPr>
            <w:tcW w:w="330" w:type="dxa"/>
            <w:gridSpan w:val="2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Halk kültürü ile ilgili müzelerden dönemin halk yaşamı konusunda bilgi edinir.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 w:val="continue"/>
            <w:tcBorders/>
            <w:shd w:val="clear" w:color="auto" w:fill="ffffff"/>
            <w:textDirection w:val="btLr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/>
            <w:shd w:val="clear" w:color="auto" w:fill="ffffff"/>
          </w:tcPr>
          <w:p>
            <w:pPr>
              <w:pStyle w:val="style4097"/>
              <w:spacing w:before="0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 w:val="continue"/>
            <w:tcBorders/>
            <w:shd w:val="clear" w:color="auto" w:fill="ffffff"/>
            <w:vAlign w:val="center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continue"/>
            <w:tcBorders/>
            <w:shd w:val="clear" w:color="auto" w:fill="ffffff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>
        <w:tblPrEx/>
        <w:trPr>
          <w:cantSplit/>
          <w:trHeight w:val="634" w:hRule="atLeast"/>
        </w:trPr>
        <w:tc>
          <w:tcPr>
            <w:tcW w:w="14567" w:type="dxa"/>
            <w:gridSpan w:val="16"/>
            <w:tcBorders/>
            <w:shd w:val="clear" w:color="auto" w:fill="fbd4b4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ÖĞRETİM YILI SONU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– 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14 Haziran 2019 Cuma</w:t>
            </w:r>
          </w:p>
        </w:tc>
      </w:tr>
      <w:bookmarkEnd w:id="0"/>
      <w:bookmarkEnd w:id="1"/>
    </w:tbl>
    <w:p>
      <w:pPr>
        <w:pStyle w:val="style0"/>
        <w:rPr/>
      </w:pPr>
    </w:p>
    <w:p>
      <w:pPr>
        <w:pStyle w:val="style0"/>
        <w:rPr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</w:t>
      </w:r>
      <w:r>
        <w:tab/>
      </w:r>
      <w:r>
        <w:t xml:space="preserve">  </w:t>
      </w:r>
      <w:r>
        <w:tab/>
      </w:r>
      <w:r>
        <w:tab/>
      </w:r>
      <w:r>
        <w:tab/>
      </w:r>
      <w:r>
        <w:t xml:space="preserve">   1</w:t>
      </w:r>
      <w:r>
        <w:t>7</w:t>
      </w:r>
      <w:r>
        <w:t>/09/201</w:t>
      </w:r>
      <w:r>
        <w:t>8</w:t>
      </w:r>
    </w:p>
    <w:p>
      <w:pPr>
        <w:pStyle w:val="style0"/>
        <w:rPr/>
      </w:pPr>
      <w:r>
        <w:t>DERS ÖĞRETMENİ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OKUL MÜDÜRÜ</w:t>
      </w: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a2"/>
    <w:family w:val="roman"/>
    <w:pitch w:val="variable"/>
    <w:sig w:usb0="E0002EFF" w:usb1="C000785B" w:usb2="00000009" w:usb3="00000000" w:csb0="000001FF" w:csb1="00000000"/>
  </w:font>
  <w:font w:name="Webdings">
    <w:altName w:val="Webdings"/>
    <w:panose1 w:val="05030102010005060703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a2"/>
    <w:family w:val="swiss"/>
    <w:pitch w:val="variable"/>
    <w:sig w:usb0="E0002AFF" w:usb1="C000247B" w:usb2="00000009" w:usb3="00000000" w:csb0="000001FF" w:csb1="00000000"/>
  </w:font>
  <w:font w:name="Courier New">
    <w:altName w:val="Courier New"/>
    <w:panose1 w:val="02070309020002020404"/>
    <w:charset w:val="a2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MS Outlook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003020204"/>
    <w:charset w:val="a2"/>
    <w:family w:val="script"/>
    <w:pitch w:val="variable"/>
    <w:sig w:usb0="00000287" w:usb1="00000013" w:usb2="00000000" w:usb3="00000000" w:csb0="0000009F" w:csb1="00000000"/>
  </w:font>
  <w:font w:name="Arial-BoldMT">
    <w:altName w:val="Arial"/>
    <w:panose1 w:val="00000000000000000000"/>
    <w:charset w:val="00"/>
    <w:family w:val="swiss"/>
    <w:pitch w:val="default"/>
    <w:sig w:usb0="00000007" w:usb1="00000000" w:usb2="00000000" w:usb3="00000000" w:csb0="00000011" w:csb1="00000000"/>
  </w:font>
  <w:font w:name="Book Antiqua">
    <w:altName w:val="Book Antiqua"/>
    <w:panose1 w:val="02040602050003030304"/>
    <w:charset w:val="a2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a2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tabs>
        <w:tab w:val="clear" w:pos="4536"/>
        <w:tab w:val="clear" w:pos="9072"/>
      </w:tabs>
      <w:ind w:right="-758"/>
      <w:jc w:val="center"/>
      <w:rPr>
        <w:rStyle w:val="style41"/>
        <w:rFonts w:ascii="Calibri" w:cs="Calibri" w:hAnsi="Calibri"/>
        <w:b/>
        <w:sz w:val="24"/>
        <w:szCs w:val="24"/>
      </w:rPr>
    </w:pPr>
    <w:r>
      <w:rPr>
        <w:rStyle w:val="style41"/>
        <w:rFonts w:ascii="Calibri" w:cs="Calibri" w:hAnsi="Calibri"/>
        <w:b/>
        <w:sz w:val="24"/>
        <w:szCs w:val="24"/>
      </w:rPr>
      <w:t>201</w:t>
    </w:r>
    <w:r>
      <w:rPr>
        <w:rStyle w:val="style41"/>
        <w:rFonts w:ascii="Calibri" w:cs="Calibri" w:hAnsi="Calibri"/>
        <w:b/>
        <w:sz w:val="24"/>
        <w:szCs w:val="24"/>
      </w:rPr>
      <w:t>8</w:t>
    </w:r>
    <w:r>
      <w:rPr>
        <w:rStyle w:val="style41"/>
        <w:rFonts w:ascii="Calibri" w:cs="Calibri" w:hAnsi="Calibri"/>
        <w:b/>
        <w:sz w:val="24"/>
        <w:szCs w:val="24"/>
      </w:rPr>
      <w:t>-201</w:t>
    </w:r>
    <w:r>
      <w:rPr>
        <w:rStyle w:val="style41"/>
        <w:rFonts w:ascii="Calibri" w:cs="Calibri" w:hAnsi="Calibri"/>
        <w:b/>
        <w:sz w:val="24"/>
        <w:szCs w:val="24"/>
      </w:rPr>
      <w:t>9</w:t>
    </w:r>
    <w:r>
      <w:rPr>
        <w:rStyle w:val="style41"/>
        <w:rFonts w:ascii="Calibri" w:cs="Calibri" w:hAnsi="Calibri"/>
        <w:b/>
        <w:sz w:val="24"/>
        <w:szCs w:val="24"/>
      </w:rPr>
      <w:t xml:space="preserve"> EĞİTİM- </w:t>
    </w:r>
    <w:r>
      <w:rPr>
        <w:rStyle w:val="style41"/>
        <w:rFonts w:ascii="Calibri" w:cs="Calibri" w:hAnsi="Calibri"/>
        <w:b/>
        <w:sz w:val="24"/>
        <w:szCs w:val="24"/>
      </w:rPr>
      <w:t xml:space="preserve">ÖĞRETİM YILI  </w:t>
    </w:r>
    <w:r>
      <w:rPr>
        <w:rStyle w:val="style41"/>
        <w:rFonts w:ascii="Calibri" w:cs="Calibri" w:hAnsi="Calibri"/>
        <w:b/>
        <w:sz w:val="24"/>
        <w:szCs w:val="24"/>
      </w:rPr>
      <w:t xml:space="preserve"> </w:t>
    </w:r>
    <w:r>
      <w:rPr>
        <w:rStyle w:val="style41"/>
        <w:rFonts w:ascii="Calibri" w:cs="Calibri" w:hAnsi="Calibri"/>
        <w:b/>
        <w:sz w:val="24"/>
        <w:szCs w:val="24"/>
      </w:rPr>
      <w:t>……..</w:t>
    </w:r>
    <w:r>
      <w:rPr>
        <w:rStyle w:val="style41"/>
        <w:rFonts w:ascii="Calibri" w:cs="Calibri" w:hAnsi="Calibri"/>
        <w:b/>
        <w:sz w:val="24"/>
        <w:szCs w:val="24"/>
      </w:rPr>
      <w:t>ORTA</w:t>
    </w:r>
    <w:r>
      <w:rPr>
        <w:rStyle w:val="style41"/>
        <w:rFonts w:ascii="Calibri" w:cs="Calibri" w:hAnsi="Calibri"/>
        <w:b/>
        <w:sz w:val="24"/>
        <w:szCs w:val="24"/>
      </w:rPr>
      <w:t xml:space="preserve">OKULU HALK KÜLTÜRÜ DERSİ </w:t>
    </w:r>
    <w:r>
      <w:rPr>
        <w:rStyle w:val="style41"/>
        <w:rFonts w:ascii="Calibri" w:cs="Calibri" w:hAnsi="Calibri"/>
        <w:b/>
        <w:sz w:val="24"/>
        <w:szCs w:val="24"/>
      </w:rPr>
      <w:t>8. SINIF ÜNİTELENDİRİLMİŞ YILLIK PLANI</w:t>
    </w:r>
  </w:p>
  <w:p>
    <w:pPr>
      <w:pStyle w:val="style31"/>
      <w:tabs>
        <w:tab w:val="clear" w:pos="4536"/>
        <w:tab w:val="clear" w:pos="9072"/>
      </w:tabs>
      <w:ind w:right="-758"/>
      <w:rPr>
        <w:rFonts w:ascii="Book Antiqua" w:hAnsi="Book Antiqua"/>
        <w:i/>
        <w:sz w:val="20"/>
      </w:rPr>
    </w:pPr>
    <w:r>
      <w:rPr>
        <w:rStyle w:val="style41"/>
        <w:rFonts w:ascii="Book Antiqua" w:hAnsi="Book Antiqua"/>
        <w:i/>
        <w:sz w:val="20"/>
      </w:rPr>
      <w:tab/>
    </w: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42ACE36"/>
    <w:lvl w:ilvl="0" w:tplc="3CDAEE42">
      <w:start w:val="1"/>
      <w:numFmt w:val="bullet"/>
      <w:lvlText w:val=""/>
      <w:lvlJc w:val="left"/>
      <w:pPr>
        <w:tabs>
          <w:tab w:val="left" w:leader="none" w:pos="720"/>
        </w:tabs>
        <w:ind w:left="720" w:hanging="360"/>
      </w:pPr>
      <w:rPr>
        <w:rFonts w:ascii="Webdings" w:cs="Times New Roman" w:eastAsia="Calibri" w:hAnsi="Webdings" w:hint="default"/>
        <w:b/>
      </w:rPr>
    </w:lvl>
    <w:lvl w:ilvl="1" w:tplc="041F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64F0B6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C270BB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C61CB6DE"/>
    <w:lvl w:ilvl="0" w:tplc="0DC20E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771A7F86"/>
    <w:lvl w:ilvl="0" w:tplc="E474F2BC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5">
    <w:nsid w:val="00000005"/>
    <w:multiLevelType w:val="hybridMultilevel"/>
    <w:tmpl w:val="B5C6EB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9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tr-TR" w:bidi="ar-SA" w:eastAsia="tr-TR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  <w:lang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097">
    <w:name w:val="Stil Verdana 10 Madde Parag"/>
    <w:basedOn w:val="style0"/>
    <w:next w:val="style4097"/>
    <w:pPr>
      <w:spacing w:before="80" w:after="0" w:lineRule="auto" w:line="240"/>
      <w:ind w:right="113"/>
    </w:pPr>
    <w:rPr>
      <w:rFonts w:ascii="Times New Roman" w:eastAsia="Times New Roman" w:hAnsi="Times New Roman"/>
      <w:lang w:eastAsia="tr-TR"/>
    </w:rPr>
  </w:style>
  <w:style w:type="character" w:styleId="style85">
    <w:name w:val="Hyperlink"/>
    <w:basedOn w:val="style65"/>
    <w:next w:val="style85"/>
    <w:rPr>
      <w:color w:val="0000ff"/>
      <w:u w:val="single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536"/>
        <w:tab w:val="right" w:leader="none" w:pos="9072"/>
      </w:tabs>
    </w:pPr>
    <w:rPr/>
  </w:style>
  <w:style w:type="character" w:customStyle="1" w:styleId="style4098">
    <w:name w:val="Üstbilgi Char"/>
    <w:basedOn w:val="style65"/>
    <w:next w:val="style4098"/>
    <w:link w:val="style31"/>
    <w:uiPriority w:val="99"/>
    <w:rPr>
      <w:sz w:val="22"/>
      <w:szCs w:val="22"/>
      <w:lang w:eastAsia="en-US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36"/>
        <w:tab w:val="right" w:leader="none" w:pos="9072"/>
      </w:tabs>
    </w:pPr>
    <w:rPr/>
  </w:style>
  <w:style w:type="character" w:customStyle="1" w:styleId="style4099">
    <w:name w:val="Altbilgi Char"/>
    <w:basedOn w:val="style65"/>
    <w:next w:val="style4099"/>
    <w:link w:val="style32"/>
    <w:uiPriority w:val="99"/>
    <w:rPr>
      <w:sz w:val="22"/>
      <w:szCs w:val="22"/>
      <w:lang w:eastAsia="en-US"/>
    </w:rPr>
  </w:style>
  <w:style w:type="character" w:styleId="style41">
    <w:name w:val="page number"/>
    <w:basedOn w:val="style65"/>
    <w:next w:val="style41"/>
  </w:style>
  <w:style w:type="paragraph" w:styleId="style84">
    <w:name w:val="Block Text"/>
    <w:basedOn w:val="style0"/>
    <w:next w:val="style84"/>
    <w:pPr>
      <w:spacing w:after="0" w:lineRule="auto" w:line="240"/>
      <w:ind w:left="113" w:right="113"/>
      <w:jc w:val="center"/>
    </w:pPr>
    <w:rPr>
      <w:rFonts w:ascii="Times New Roman" w:eastAsia="Times New Roman" w:hAnsi="Times New Roman"/>
      <w:b/>
      <w:bCs/>
      <w:sz w:val="24"/>
      <w:szCs w:val="24"/>
      <w:lang w:eastAsia="tr-TR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oter" Target="footer4.xml"/><Relationship Id="rId10" Type="http://schemas.openxmlformats.org/officeDocument/2006/relationships/theme" Target="theme/theme1.xml"/><Relationship Id="rId8" Type="http://schemas.openxmlformats.org/officeDocument/2006/relationships/fontTable" Target="fontTable.xml"/><Relationship Id="rId4" Type="http://schemas.openxmlformats.org/officeDocument/2006/relationships/footer" Target="footer3.xml"/><Relationship Id="rId3" Type="http://schemas.openxmlformats.org/officeDocument/2006/relationships/header" Target="header2.xml"/><Relationship Id="rId9" Type="http://schemas.openxmlformats.org/officeDocument/2006/relationships/settings" Target="settings.xml"/><Relationship Id="rId6" Type="http://schemas.openxmlformats.org/officeDocument/2006/relationships/header" Target="header5.xml"/><Relationship Id="rId11" Type="http://schemas.openxmlformats.org/officeDocument/2006/relationships/customXml" Target="../customXml/item1.xml"/><Relationship Id="rId1" Type="http://schemas.openxmlformats.org/officeDocument/2006/relationships/numbering" Target="numbering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86357-ED7B-49AB-90B6-8554959E0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1797</Words>
  <Pages>4</Pages>
  <Characters>12154</Characters>
  <Application>WPS Office</Application>
  <DocSecurity>0</DocSecurity>
  <Paragraphs>674</Paragraphs>
  <ScaleCrop>false</ScaleCrop>
  <LinksUpToDate>false</LinksUpToDate>
  <CharactersWithSpaces>14316</CharactersWithSpaces>
  <SharedDoc>false</SharedDoc>
  <HyperlinksChanged>false</HyperlinksChanged>
  <Manager>www.HangiSoru.com</Manager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category>www.HangiSoru.com</category>
  <dcterms:created xsi:type="dcterms:W3CDTF">2018-10-26T16:37:30Z</dcterms:created>
  <dc:creator>www.HangiSoru.com</dc:creator>
  <dc:description>www.HangiSoru.com</dc:description>
  <keywords>www.HangiSoru.com</keywords>
  <lastModifiedBy>CASPER_VIA_M1</lastModifiedBy>
  <lastPrinted>2008-09-18T12:18:00Z</lastPrinted>
  <dcterms:modified xsi:type="dcterms:W3CDTF">2018-10-26T16:37:31Z</dcterms:modified>
  <revision>2</revision>
  <dc:subject>www.HangiSoru.com</dc:subject>
  <dc:title>www.HangiSoru.com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